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21</w:t>
      </w:r>
    </w:p>
    <w:p>
      <w:r>
        <w:t>Bundesgericht (BGE), 1976-02-05, DE</w:t>
      </w:r>
    </w:p>
    <w:p>
      <w:r>
        <w:rPr>
          <w:b/>
        </w:rPr>
        <w:t xml:space="preserve">Quelle: </w:t>
      </w:r>
      <w:r>
        <w:t>https://mcp.opencaselaw.ch/entscheid/bge_102 IV 21</w:t>
      </w:r>
    </w:p>
    <w:p>
      <w:r>
        <w:t>FR: ATF 102 IV 21</w:t>
      </w:r>
    </w:p>
    <w:p>
      <w:r>
        <w:t>IT: DTF 102 IV 21</w:t>
      </w:r>
    </w:p>
    <w:p>
      <w:pPr>
        <w:pStyle w:val="Heading2"/>
      </w:pPr>
      <w:r>
        <w:t>Regeste</w:t>
      </w:r>
    </w:p>
    <w:p>
      <w:r>
        <w:t>Regeste Art. 165 Ziff. 1 in Verbindung mit Art. 172 Abs. 1 StGB. Der Erwerb wertloser Schuldbriefe durch den Bevollmächtigten einer zahlungsunfähigen Aktiengesellschaft verschlimmert deren Vermögenslage und stellt eine Bankrotthandlung i.S. der oben genannten Bestimmungen dar.</w:t>
      </w:r>
    </w:p>
    <w:p>
      <w:pPr>
        <w:pStyle w:val="Heading2"/>
      </w:pPr>
      <w:r>
        <w:t>Erwägungen</w:t>
      </w:r>
    </w:p>
    <w:p>
      <w:r>
        <w:rPr>
          <w:b/>
        </w:rPr>
        <w:t>E. 1</w:t>
      </w:r>
    </w:p>
    <w:p>
      <w:r>
        <w:t>Dem Beschwerdeführer wird vorgeworfen, er habe sich des leichtsinnigen Konkurses im Sinne von Art. 165 Ziff. 1 in Verbindung mit Art. 172 Abs. 1 StGB in der Weise schuldig gemacht, dass er im Bewusstsein der Zahlungsunfähigkeit der KWH als Bevollmächtigter die Vermögenslage der Gesellschaft durch argen Leichtsinn und grobe Nachlässigkeit in der Ausübung seiner Funktionen verschlimmert habe. Der Beschwerdeführer muss also in einer der in Art. 172 Abs. 1 StGB genannten Eigenschaften gehandelt haben und, wenigstens im Sinne des Eventualvorsatzes, die Zahlungsunfähigkeit der Gesellschaft gekannt haben. Sodann muss er die Vermögenslage der schon zahlungsunfähigen Gesellschaft verschlimmert haben durch argen Leichtsinn, unverhältnismässigen BGE 102 IV 21 S. 23 Aufwand, gewagte Spekulationen oder grobe Nachlässigkeit in der Berufsausübung. Zwischen diesem Verhalten und der Verschlimmerung der Vermögenslage muss Kausalzusammenhang bestehen.</w:t>
      </w:r>
    </w:p>
    <w:p>
      <w:r>
        <w:rPr>
          <w:b/>
        </w:rPr>
        <w:t>E. 4</w:t>
      </w:r>
    </w:p>
    <w:p>
      <w:r>
        <w:t>Die eine Bankrotthandlung, welche dem Beschwerdeführer vorgeworfen wird, ist der Erwerb von zwei Schuldbriefen von je Fr. 50'000.-- im 4. und 5. Rang, welche auf einer Liegenschaft in Wettingen lasteten und die im Eigentum der Sennefelder Offsetdruck AG stand, die im Dezember 1967 in Konkurs geriet. Diese Schuldbriefe waren wertlos. Der Beschwerdeführer schaffte sie für die Gesellschaft an durch Übergabe von KWH-Wechseln in der Höhe von total Fr. 70'000.-- und drei alten KWH-Akzepten. Durch diese Finanzoperation vermehrten sich die Schulden der Gesellschaft um den Nominalwert der Wechsel. Als Gegenwert erhielt die KWH wertlose Schuldbriefe einer überschuldeten Druckerei, also keinen entsprechenden Gegenwert. Diese Transaktion hat somit die Vermögenslage der schon zahlungsunfähigen KWH erheblich verschlimmert. Damit ist auch der Kausalzusammenhang zwischen der Handlung des Beschwerdeführers und dem Erfolg (der Verschlimmerung der Vermögenslage) gegeben. Daran ändert nichts, dass die KWH diese Schuldbriefe angeblich kurz nach dem Erwerb und bevor die Sennefelder Offsetdruck AG im Dezember 1967 in Konkurs fiel, weiterveräussert hat. Der Schaden wäre nur dann behoben worden, wenn die KWH bei Weiterveräusserung der Schuldbriefe einen Gegenwert erhalten hätte, welcher dem Nominalwert der Wechsel entsprochen hätte, zu dem die Schuldbriefe erworben worden waren. Das behauptet aber auch der Beschwerdeführer nicht. Die Frage, ob auch eine vorübergehende Schädigung, welche vor der Konkurseröffnung wieder wettgemacht wird, den Tatbestand des leichtsinnigen Konkurses ebenfalls erfüllt, stellt sich daher hier nicht. Ein Kausalzusammenhang der Bankrotthandlung mit der Konkurseröffnung muss aber nicht nachgewiesen werden, denn nur die Vermögensverschlimmerung, nicht die Konkurseröffnung, ist der tatbestandsmässige Erfolg ( BGE 74 IV 37 ; HAFTER, Bes. Teil I S. 336; HAEFLIGER, BlSchK 1954 S. 101; LOGOZ, vor Art. 163 N. 4; SCHWANDER, SJK Nr. 1128 S. 12/Nr. 1129 S. 4 V; STRATENWERTH, Bes. Teil I S. 277).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